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A6" w:rsidRDefault="00AA49A6">
      <w:pPr>
        <w:jc w:val="center"/>
        <w:rPr>
          <w:b/>
          <w:lang w:val="en-US"/>
        </w:rPr>
      </w:pPr>
      <w:bookmarkStart w:id="0" w:name="_GoBack"/>
      <w:bookmarkEnd w:id="0"/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  <w:sz w:val="28"/>
        </w:rPr>
      </w:pPr>
      <w:r>
        <w:rPr>
          <w:b/>
          <w:sz w:val="28"/>
        </w:rPr>
        <w:t>КОНКУРСНАЯ ДОКУМЕНТАЦИЯ</w:t>
      </w:r>
    </w:p>
    <w:p w:rsidR="00AA49A6" w:rsidRDefault="00AA49A6">
      <w:pPr>
        <w:jc w:val="center"/>
        <w:rPr>
          <w:sz w:val="28"/>
        </w:rPr>
      </w:pPr>
    </w:p>
    <w:p w:rsidR="00AA49A6" w:rsidRDefault="00C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ПО ПРЕДОСТАВЛЕНИЮ ГРАНТОВ В ФОРМЕ СУБСИДИЙ ИЗ БЮДЖЕТА ХАНТЫ-МАНСИЙСКОГО АВТОНОМНОГО ОКРУГА – ЮГРЫ НА РАЗВИТИЕ</w:t>
      </w:r>
    </w:p>
    <w:p w:rsidR="00AA49A6" w:rsidRDefault="00C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ВНУТРЕННЕГО, ВЪЕЗДНОГО, В ТОМ ЧИСЛЕ ЭТНОГРАФИЧЕСКОГО ТУРИЗМА</w:t>
      </w:r>
    </w:p>
    <w:p w:rsidR="00AA49A6" w:rsidRDefault="00C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</w:p>
    <w:p w:rsidR="00AA49A6" w:rsidRDefault="00AA49A6">
      <w:pPr>
        <w:jc w:val="center"/>
        <w:rPr>
          <w:sz w:val="28"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</w:rPr>
      </w:pPr>
      <w:r>
        <w:rPr>
          <w:b/>
        </w:rPr>
        <w:t>Ханты-Мансийск</w:t>
      </w:r>
    </w:p>
    <w:p w:rsidR="00AA49A6" w:rsidRDefault="00CE32A1">
      <w:pPr>
        <w:jc w:val="center"/>
        <w:rPr>
          <w:b/>
        </w:rPr>
      </w:pPr>
      <w:r>
        <w:rPr>
          <w:b/>
        </w:rPr>
        <w:t>2020</w:t>
      </w:r>
      <w:r>
        <w:br w:type="page"/>
      </w:r>
    </w:p>
    <w:p w:rsidR="00AA49A6" w:rsidRDefault="00CE32A1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AA49A6" w:rsidRDefault="00AA49A6">
      <w:pPr>
        <w:jc w:val="center"/>
      </w:pPr>
    </w:p>
    <w:p w:rsidR="00AA49A6" w:rsidRDefault="00CE32A1">
      <w:pPr>
        <w:ind w:firstLine="709"/>
        <w:jc w:val="both"/>
      </w:pPr>
      <w:r>
        <w:t>Конкурс по предоставлению грантов в форме субсидий из бюджета Ханты-Мансийского автономного округа – Югры на развитие внутреннего, въездного, в том числе этнографического туризма (далее – Конкурс) проводится в целях реализации постановления Правительства Ханты-Мансийского автономного округа – Югры от 05.10.2018 № 357-п «О государственной программе Ханты-Мансийского автономного округа – Югры «Развитие промышленности и туризма».</w:t>
      </w:r>
    </w:p>
    <w:p w:rsidR="00AA49A6" w:rsidRDefault="00CE32A1">
      <w:pPr>
        <w:ind w:firstLine="709"/>
        <w:jc w:val="both"/>
      </w:pPr>
      <w:r>
        <w:t>Предлагаемая конкурсная документация составляет полный комплект информации, инструкций и форм, необходимых для того, чтобы подать заявку на получение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 (далее – Грант).</w:t>
      </w:r>
    </w:p>
    <w:p w:rsidR="00AA49A6" w:rsidRDefault="00CE32A1">
      <w:pPr>
        <w:ind w:firstLine="709"/>
        <w:jc w:val="both"/>
      </w:pPr>
      <w:r>
        <w:t xml:space="preserve">Описание конкурсного проекта включает в себя основной текст и приложения, которые должны быть отпечатаны на стандартных листах белой бумаги формата А4 с одной стороны листа (поля страниц: левое – 3 см, правое – 2 см, верхнее – 2 см, нижнее – 2 см). Шрифт печатания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черного цвета, размер шрифта – 14 пт, межстрочный интервал – 1,15.</w:t>
      </w:r>
    </w:p>
    <w:p w:rsidR="00AA49A6" w:rsidRDefault="00CE32A1">
      <w:pPr>
        <w:ind w:firstLine="709"/>
        <w:jc w:val="both"/>
      </w:pPr>
      <w:r>
        <w:t xml:space="preserve">Входящие в состав конкурсной заявки документы, подаются </w:t>
      </w:r>
      <w:r>
        <w:rPr>
          <w:color w:val="000000"/>
        </w:rPr>
        <w:t xml:space="preserve">на бумажном носителе непосредственно и (или) по почте в адрес Управления туризма Департамента, указанного на официальном сайте «Туризм в Югре» </w:t>
      </w:r>
      <w:hyperlink r:id="rId6" w:tgtFrame="&lt;div class=&quot;doc www&quot;&gt;www.tourism.admhmao.ru&lt;/div&gt;">
        <w:r>
          <w:rPr>
            <w:rStyle w:val="ListLabel201"/>
          </w:rPr>
          <w:t>www.tourism.admhmao.ru</w:t>
        </w:r>
      </w:hyperlink>
      <w:r>
        <w:rPr>
          <w:color w:val="000000"/>
        </w:rPr>
        <w:t>, письмом с уведомлением о вручении, и в электронном виде.</w:t>
      </w:r>
    </w:p>
    <w:p w:rsidR="00AA49A6" w:rsidRDefault="00CE32A1">
      <w:pPr>
        <w:ind w:firstLine="709"/>
        <w:jc w:val="both"/>
      </w:pPr>
      <w:r>
        <w:t>Сроки подачи конкурсных заявок указываются в извещении о проведении конкурса на получение Гранта.</w:t>
      </w:r>
    </w:p>
    <w:p w:rsidR="00AA49A6" w:rsidRDefault="00CE32A1">
      <w:pPr>
        <w:ind w:firstLine="709"/>
        <w:jc w:val="both"/>
      </w:pPr>
      <w:r>
        <w:t>Конкурсные заявки, поданные позже объявленного срока, к рассмотрению не принимаются.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  <w:lang w:val="en-US"/>
        </w:rPr>
        <w:t>I</w:t>
      </w:r>
      <w:r>
        <w:rPr>
          <w:b/>
          <w:color w:val="000000"/>
          <w:spacing w:val="-1"/>
        </w:rPr>
        <w:t>. Условия и порядок участия в Конкурсе</w:t>
      </w:r>
    </w:p>
    <w:p w:rsidR="00AA49A6" w:rsidRDefault="00AA49A6">
      <w:pPr>
        <w:shd w:val="clear" w:color="auto" w:fill="FFFFFF"/>
        <w:jc w:val="center"/>
        <w:rPr>
          <w:b/>
          <w:color w:val="000000"/>
          <w:spacing w:val="-1"/>
        </w:rPr>
      </w:pP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1.1. Порядок разработан в соответствии с Бюджетным кодексом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целях реализации основного мероприятия 2.1 «Поддержка развития внутреннего и въездного туризма» подпрограммы 2 «Развитие туризма» настоящей государственной программы.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1.2. В Порядке используются следующие понятия: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– денежные средства, предоставляемые из бюджета Ханты-Мансийского автономного округа – Югры (далее – автономный округ) на конкурсной основе, в форме субсидии, на развитие внутреннего, въездного, в том числе этнографического туризма;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соискатели – юридические лица (за исключением государственных (муниципальных) учреждений), индивидуальные предприниматели, зарегистрированные в автономном округе, разрабатывающие и предлагающие проекты, направленные на достижение практических результатов по развитию и совершенствованию индустрии внутреннего, въездного, в том числе этнографического туризма в автономном округе, являющиеся субъектами малого или среднего предпринимательства и соответствующие условиям, определенным Федеральным законом от 24 июля 2007 года № 209-ФЗ «О развитии малого и среднего предпринимательства в Российской Федерации», а также состоящие в Едином реестре субъектов малого и среднего предпринимательства;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грантополучатель – соискатель, заявка которого признана победившей в Конкурсе по направлениям, получатель субсидии;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эксперт – экспертная организация или физическое лицо, обладающее специальными знаниями, опытом, квалификацией в определенных областях, приглашаемое для проведения финансово–экономического анализа, анализа туристской привлекательности представленных проектов и выдачи квалифицированного заключения.1.3. К участию в Конкурсе допускаются соискатели, соответствующие на первое число месяца, предшествующего месяцу, в котором планируется заключение Соглашения о предоставлении гранта: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а)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</w:t>
      </w:r>
      <w:hyperlink r:id="rId7">
        <w:r>
          <w:rPr>
            <w:rStyle w:val="-"/>
            <w:spacing w:val="-1"/>
          </w:rPr>
          <w:t>постановлением</w:t>
        </w:r>
      </w:hyperlink>
      <w:r>
        <w:rPr>
          <w:color w:val="000000"/>
          <w:spacing w:val="-1"/>
        </w:rPr>
        <w:t xml:space="preserve"> Государственного комитета Российской Федерации по стандартизации и метрологии от 6 ноября 2001 года № 454-ст «О принятии и введении в действие ОКВЭД»;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б) по направлениям, указанным в </w:t>
      </w:r>
      <w:hyperlink r:id="rId8" w:anchor="P4521">
        <w:r>
          <w:rPr>
            <w:rStyle w:val="-"/>
            <w:spacing w:val="-1"/>
          </w:rPr>
          <w:t>подпунктах «а»</w:t>
        </w:r>
      </w:hyperlink>
      <w:r>
        <w:rPr>
          <w:color w:val="000000"/>
          <w:spacing w:val="-1"/>
        </w:rPr>
        <w:t xml:space="preserve">, «б»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 по следующим </w:t>
      </w:r>
      <w:hyperlink r:id="rId9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49"/>
        <w:gridCol w:w="6424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№ п/п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Код группировок видов экономической деятельности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экономической деятельности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гостиниц и прочих мест для временного проживания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55.2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мест для краткосрочного проживания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56.10.1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5.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79.90.21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82.3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86.90.4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санаторно-курортных организаций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в) по направлению, указанному в подпункте «в»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 по следующим </w:t>
      </w:r>
      <w:hyperlink r:id="rId10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50"/>
        <w:gridCol w:w="6455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14.11.1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одежды из кожи, кроме изготовленных по индивидуальному заказу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14.13.1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верхней трикотажной или вязаной одежды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14.13.2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верхней одежды из текстильных материалов, кроме трикотажных или вязаных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14.19.23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14.19.31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аксессуаров одежды из натуральной или композиционной кожи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14.20.1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16.29.13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16.29.14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16.29.23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корзиночных и плетеных изделий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23.41.1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столовой и кухонной керамической посуды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23.41.3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статуэток и прочих декоративных керамических изделий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ювелирных изделий, бижутерии и подобных товаров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32.99.8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изделий народных художественных промыслов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г) по направлению, указанному в подпункте «г»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деятельность, в том числе по следующим </w:t>
      </w:r>
      <w:hyperlink r:id="rId11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50"/>
        <w:gridCol w:w="6455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полиграфическая и предоставление услуг в этой области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игр и игрушек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58.1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Издание книг, периодических публикаций и другие виды издательской деятельности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59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в области телевизионного и радиовещания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63.91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информационных агентств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рекламная и исследование конъюнктуры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туристических информационных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экскурсионных туристических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82.3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93.2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в области отдыха и развлечений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е) </w:t>
      </w:r>
      <w:r>
        <w:t>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>
        <w:rPr>
          <w:color w:val="000000"/>
          <w:spacing w:val="-1"/>
        </w:rPr>
        <w:t xml:space="preserve">; 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ж)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>
        <w:r>
          <w:rPr>
            <w:rStyle w:val="-"/>
            <w:spacing w:val="-1"/>
          </w:rPr>
          <w:t>перечень</w:t>
        </w:r>
      </w:hyperlink>
      <w:r>
        <w:rPr>
          <w:color w:val="000000"/>
          <w:spacing w:val="-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з) не имеющее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указанных средств.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1.4. В Конкурсе не могут принимать участие проекты, направленные на проведение фестивалей, юбилейных торжеств, конкурсов, на плановые работы организаций.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1.5. Грантополучателям запрещается приобретать иностранную валюту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1.6.</w:t>
      </w:r>
      <w:r>
        <w:rPr>
          <w:color w:val="000000"/>
          <w:spacing w:val="-1"/>
        </w:rPr>
        <w:t xml:space="preserve"> Главным распорядителем бюджетных средств является Департамент промышленности автономного округа (далее – Департамент), до которого как до получателя бюджетных средств доведены лимиты бюджетных обязательств на предоставление субсидий на соответствующий финансовый год.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1.7.</w:t>
      </w:r>
      <w:r>
        <w:rPr>
          <w:color w:val="000000"/>
          <w:spacing w:val="-1"/>
        </w:rPr>
        <w:t xml:space="preserve"> Выплату грантов осуществляет Департамент в пределах бюджетных ассигнований, предусмотренных в бюджете автономного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1" w:name="P4514"/>
      <w:bookmarkEnd w:id="1"/>
      <w:r>
        <w:rPr>
          <w:bCs/>
          <w:color w:val="000000"/>
          <w:spacing w:val="-1"/>
        </w:rPr>
        <w:t>1.8.</w:t>
      </w:r>
      <w:r>
        <w:rPr>
          <w:color w:val="000000"/>
          <w:spacing w:val="-1"/>
        </w:rPr>
        <w:t xml:space="preserve"> Размер софинансирования (собственных средств) соискателя по направлениям, указанным в пункте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должен составлять не менее 50% от суммы сметы по проекту на грант.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1.9.</w:t>
      </w:r>
      <w:r>
        <w:rPr>
          <w:color w:val="000000"/>
          <w:spacing w:val="-1"/>
        </w:rPr>
        <w:t xml:space="preserve"> Гранты предоставляются на: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а) дальнейшее развитие имеющейся инфраструктуры объектов туристской индустрии (гостевые дома, кафе, рестораны, туристско-информационные центры, санаторно-курортные организации), объектов дорожного сервиса (гостиницы, кемпинги, мотели, пункты общественного питания), установку средств туристской навигации к туристским объектам; приобретение новых транспортных средств для перевозки туристов, отвечающих требованиям безопасности, в том числе при перевозке детей, </w:t>
      </w:r>
      <w:r>
        <w:rPr>
          <w:bCs/>
          <w:color w:val="000000"/>
          <w:spacing w:val="-1"/>
        </w:rPr>
        <w:t xml:space="preserve">внедорожных </w:t>
      </w:r>
      <w:r>
        <w:rPr>
          <w:bCs/>
          <w:color w:val="000000"/>
          <w:spacing w:val="-1"/>
        </w:rPr>
        <w:lastRenderedPageBreak/>
        <w:t xml:space="preserve">мототранспортных средств, прицепов, </w:t>
      </w:r>
      <w:r>
        <w:rPr>
          <w:color w:val="000000"/>
          <w:spacing w:val="-1"/>
        </w:rPr>
        <w:t xml:space="preserve">способствующих оказанию услуг и беспрепятственному доступу туристов к туристским ресурсам, для проектов по направлениям, указанным в подпунктах «а»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б) дальнейшее развитие имеющейся инфраструктуры этнографических объектов туристской индустрии (этнографические деревни, стойбища), для проектов, указанных в подпункте «б»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Порядка;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в) создание и развитие материально-технической базы, включающей в себя строительство, приобретение помещений под мастерские; приобретение специализированного производственного оборудования для производства сувенирной продукции, в том числе с этнографической составляющей, для проектов по направлению, указанному в подпункте «в»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Порядка. Соискатели за счет собственных средств, в размере, указанном в пункте </w:t>
      </w:r>
      <w:r>
        <w:rPr>
          <w:bCs/>
          <w:color w:val="000000"/>
          <w:spacing w:val="-1"/>
        </w:rPr>
        <w:t>1.8</w:t>
      </w:r>
      <w:r>
        <w:rPr>
          <w:color w:val="000000"/>
          <w:spacing w:val="-1"/>
        </w:rPr>
        <w:t xml:space="preserve"> Порядка осуществляют: приобретение расходных материалов для производственного оборудования, сырья для изготовления продукции, затраты на аренду и ремонт помещений, подключение помещений к сетям электро- и водоснабжения;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г) продвижение туристского продукта автономного округа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автономного округа; размещение в печатных и электронных средствах массовой информации печатного и/или электронного материала, содержащего информацию о туристских маршрутах автономного округа, экскурсионных программах и/или программах по приему и пребыванию в автономном округе туристов и обслуживанию экскурсантов; разработка и/или изготовление специализированных наглядно–демонстрационных материалов, применяемых для участия в выставочно-ярмарочных и/или конгрессных мероприятиях, а именно: баннеров и планшетов, эскизных проектов и/или демонстрационных макетов объектов туристской индустрии, создание, прокат, распространение видеоматериалов о туристских ресурсах автономного округа, в том числе с этнографической составляющей), для проектов по направлению, указанному в подпункте «г»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2" w:name="P4520"/>
      <w:bookmarkEnd w:id="2"/>
      <w:r>
        <w:rPr>
          <w:bCs/>
          <w:color w:val="000000"/>
          <w:spacing w:val="-1"/>
        </w:rPr>
        <w:t>1.10.</w:t>
      </w:r>
      <w:r>
        <w:rPr>
          <w:color w:val="000000"/>
          <w:spacing w:val="-1"/>
        </w:rPr>
        <w:t xml:space="preserve"> Конкурс проводится по следующим направлениям: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3" w:name="P4521"/>
      <w:bookmarkEnd w:id="3"/>
      <w:r>
        <w:rPr>
          <w:color w:val="000000"/>
          <w:spacing w:val="-1"/>
        </w:rPr>
        <w:t>а) Развитие и создание дополнительных объектов туристской индустрии, реконструкция имеющихся объектов туристской индустрии: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2500,0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2000,0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4" w:name="P4525"/>
      <w:bookmarkEnd w:id="4"/>
      <w:r>
        <w:rPr>
          <w:color w:val="000000"/>
          <w:spacing w:val="-1"/>
        </w:rPr>
        <w:t>б)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300,0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200,0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100,0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5" w:name="P4529"/>
      <w:bookmarkEnd w:id="5"/>
      <w:r>
        <w:rPr>
          <w:color w:val="000000"/>
          <w:spacing w:val="-1"/>
        </w:rPr>
        <w:t>в) развитие индустрии туристских сувениров (в том числе с этнографической составляющей):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700,0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600,0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6" w:name="P4533"/>
      <w:bookmarkEnd w:id="6"/>
      <w:r>
        <w:rPr>
          <w:color w:val="000000"/>
          <w:spacing w:val="-1"/>
        </w:rPr>
        <w:t>г) продвижение туристского продукта автономного округа (в сфере внутреннего и въездного туризма, в том числе этнографического туризма):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700,0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600,0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>1.11.</w:t>
      </w:r>
      <w:r>
        <w:rPr>
          <w:color w:val="000000"/>
          <w:spacing w:val="-1"/>
        </w:rPr>
        <w:t xml:space="preserve"> Конкурс по соответствующему направлению, указанному в пункте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считается состоявшимся при наличии не менее одного представленного проекта, который соответствует условиям Порядка.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1.12.</w:t>
      </w:r>
      <w:r>
        <w:rPr>
          <w:color w:val="000000"/>
          <w:spacing w:val="-1"/>
        </w:rPr>
        <w:t xml:space="preserve"> Грант может быть перераспределен участнику, следующему за победителем Конкурса, в случае, если победитель Конкурса отказался от заключения Соглашения, указанного в </w:t>
      </w:r>
      <w:r>
        <w:rPr>
          <w:bCs/>
          <w:color w:val="000000"/>
          <w:spacing w:val="-1"/>
        </w:rPr>
        <w:t>Разделе</w:t>
      </w:r>
      <w:r>
        <w:rPr>
          <w:color w:val="000000"/>
          <w:spacing w:val="-1"/>
        </w:rPr>
        <w:t xml:space="preserve"> 4 Порядка.</w:t>
      </w:r>
    </w:p>
    <w:p w:rsidR="00AA49A6" w:rsidRDefault="00AA49A6">
      <w:pPr>
        <w:ind w:firstLine="709"/>
        <w:jc w:val="both"/>
        <w:rPr>
          <w:b/>
          <w:color w:val="000000"/>
          <w:spacing w:val="-1"/>
        </w:rPr>
      </w:pPr>
    </w:p>
    <w:p w:rsidR="00AA49A6" w:rsidRDefault="00CE32A1">
      <w:pPr>
        <w:ind w:firstLine="70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  <w:lang w:val="en-US"/>
        </w:rPr>
        <w:t>II</w:t>
      </w:r>
      <w:r>
        <w:rPr>
          <w:b/>
          <w:color w:val="000000"/>
          <w:spacing w:val="-1"/>
        </w:rPr>
        <w:t>. Порядок подачи заявок на предоставление</w:t>
      </w:r>
    </w:p>
    <w:p w:rsidR="00AA49A6" w:rsidRDefault="00CE32A1">
      <w:pPr>
        <w:ind w:firstLine="70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Субсидии</w:t>
      </w:r>
    </w:p>
    <w:p w:rsidR="00AA49A6" w:rsidRDefault="00AA49A6">
      <w:pPr>
        <w:ind w:firstLine="709"/>
        <w:jc w:val="center"/>
        <w:rPr>
          <w:b/>
          <w:color w:val="000000"/>
          <w:spacing w:val="-1"/>
        </w:rPr>
      </w:pPr>
    </w:p>
    <w:p w:rsidR="00AA49A6" w:rsidRDefault="00CE32A1">
      <w:pPr>
        <w:ind w:firstLine="540"/>
        <w:jc w:val="both"/>
        <w:rPr>
          <w:color w:val="000000"/>
        </w:rPr>
      </w:pPr>
      <w:r>
        <w:rPr>
          <w:color w:val="000000"/>
        </w:rPr>
        <w:t>2.1. Организацию и проведение Конкурса осуществляет Департамент, который образует Комиссию по проверке предоставленных документов на Конкурс, по проверке и принятию промежуточного и заключительного отчетов, а также по рассмотрению и согласованию внесения изменений в Соглашение о предоставлении гранта и Совет по грантам.</w:t>
      </w:r>
    </w:p>
    <w:p w:rsidR="00AA49A6" w:rsidRDefault="00CE32A1">
      <w:pPr>
        <w:ind w:firstLine="540"/>
        <w:jc w:val="both"/>
      </w:pPr>
      <w:r>
        <w:rPr>
          <w:color w:val="000000"/>
        </w:rPr>
        <w:t>2.2. Департамент размещает извещения о проведении Конкурса на официальном сайте Департамента в информационно-телекоммуникационной сети Интернет www.depprom.admhmao.ru в разделе «Деятельность/Туризм» и тематическом сайте www.tourism.admhmao.ru в разделе «Государственная поддержка туризма» в срок не позднее чем за 10 рабочих дней до начала проведения Конкурса.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 Для участия в Конкурсе соискатель направляет в адрес Департамента конкурсную документацию: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2.3.1. Сопроводительное письмо на имя директора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2.3.2. Заявку на участие в Конкурсе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2.3.3. Паспорт проекта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2.3.4. Смету расходов по проекту на грант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2.3.5. Проект, включающий в себя план его реализации, список исполнителей, информацию о соискателе (руководителе), обоснование проекта, цели и его задачи, содержание проекта, с описанием имеющихся объектов туристской индустрии, его кадровое обеспечение, предполагаемые затраты и источники финансирования проекта,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календарного года с момента заключения Соглашения.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2.3.6. Бизнес-план (технико-экономическое обоснование).</w:t>
      </w:r>
    </w:p>
    <w:p w:rsidR="00AA49A6" w:rsidRDefault="00CE32A1">
      <w:pPr>
        <w:ind w:firstLine="540"/>
        <w:jc w:val="both"/>
      </w:pPr>
      <w:r>
        <w:rPr>
          <w:color w:val="000000"/>
        </w:rPr>
        <w:t xml:space="preserve">2.3.7. Проект строительства, в который входят чертежи, с указанием размера помещений, их планировка, схему и карту расположения объекта, для проектов по направлению, указанному </w:t>
      </w:r>
      <w:r>
        <w:t xml:space="preserve">в </w:t>
      </w:r>
      <w:hyperlink r:id="rId13">
        <w:r>
          <w:rPr>
            <w:rStyle w:val="-"/>
            <w:color w:val="auto"/>
            <w:u w:val="none"/>
          </w:rPr>
          <w:t>подпунктах «а»</w:t>
        </w:r>
      </w:hyperlink>
      <w:r>
        <w:t>, «</w:t>
      </w:r>
      <w:hyperlink r:id="rId14">
        <w:r>
          <w:rPr>
            <w:rStyle w:val="-"/>
            <w:color w:val="auto"/>
            <w:u w:val="none"/>
          </w:rPr>
          <w:t>б</w:t>
        </w:r>
      </w:hyperlink>
      <w:r>
        <w:rPr>
          <w:rStyle w:val="-"/>
          <w:color w:val="auto"/>
          <w:u w:val="none"/>
        </w:rPr>
        <w:t>»</w:t>
      </w:r>
      <w:r>
        <w:t>, «</w:t>
      </w:r>
      <w:hyperlink r:id="rId15">
        <w:r>
          <w:rPr>
            <w:rStyle w:val="-"/>
            <w:color w:val="auto"/>
            <w:u w:val="none"/>
          </w:rPr>
          <w:t>в» пункта 1.10</w:t>
        </w:r>
      </w:hyperlink>
      <w:r>
        <w:t xml:space="preserve"> Порядка (в случае строительства мастерской).</w:t>
      </w:r>
    </w:p>
    <w:p w:rsidR="00AA49A6" w:rsidRDefault="00CE32A1">
      <w:pPr>
        <w:ind w:firstLine="540"/>
        <w:jc w:val="both"/>
      </w:pPr>
      <w:r>
        <w:rPr>
          <w:color w:val="000000"/>
        </w:rPr>
        <w:t>2.3.8. Справка, подтверждающая отсутствие у соискателя на первое число месяца, в котором подается Заявка, просроченной задолженности по субсидиям, бюджетным инвестициям и иным средствам, предоставленным из бюджета Ханты-Мансийского автономного округа – Югры в соответствии с нормативными правовыми актами Российской Федерации (договорами (соглашениями) о предоставлении субсидий, бюджетных инвестиций) в соответствии с типовой формой, утвержденной Департаментом финансов автономного округа.</w:t>
      </w:r>
    </w:p>
    <w:p w:rsidR="00AA49A6" w:rsidRDefault="00AA49A6">
      <w:pPr>
        <w:ind w:firstLine="709"/>
        <w:jc w:val="both"/>
        <w:rPr>
          <w:b/>
          <w:color w:val="000000"/>
          <w:spacing w:val="-1"/>
        </w:rPr>
      </w:pPr>
    </w:p>
    <w:p w:rsidR="00AA49A6" w:rsidRDefault="00AA49A6">
      <w:pPr>
        <w:jc w:val="center"/>
        <w:rPr>
          <w:b/>
          <w:color w:val="000000"/>
          <w:spacing w:val="-1"/>
        </w:rPr>
      </w:pPr>
    </w:p>
    <w:p w:rsidR="00AA49A6" w:rsidRDefault="00CE32A1">
      <w:pPr>
        <w:shd w:val="clear" w:color="auto" w:fill="FFFFFF"/>
        <w:jc w:val="center"/>
        <w:rPr>
          <w:color w:val="000000"/>
          <w:spacing w:val="-7"/>
        </w:rPr>
      </w:pPr>
      <w:r>
        <w:rPr>
          <w:b/>
          <w:color w:val="000000"/>
          <w:spacing w:val="-1"/>
          <w:lang w:val="en-US"/>
        </w:rPr>
        <w:t>III</w:t>
      </w:r>
      <w:r>
        <w:rPr>
          <w:b/>
          <w:color w:val="000000"/>
          <w:spacing w:val="-1"/>
        </w:rPr>
        <w:t xml:space="preserve">. Общие критерии </w:t>
      </w:r>
      <w:r>
        <w:rPr>
          <w:b/>
        </w:rPr>
        <w:t xml:space="preserve">проектов, </w:t>
      </w:r>
      <w:r>
        <w:rPr>
          <w:b/>
          <w:color w:val="000000"/>
        </w:rPr>
        <w:t xml:space="preserve">представляемых на </w:t>
      </w:r>
      <w:r>
        <w:rPr>
          <w:b/>
          <w:color w:val="000000"/>
          <w:spacing w:val="-7"/>
        </w:rPr>
        <w:t>Конкурс</w:t>
      </w:r>
    </w:p>
    <w:p w:rsidR="00AA49A6" w:rsidRDefault="00AA49A6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 Критерии оценки проектов: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lastRenderedPageBreak/>
        <w:t>Соответствие задач проекта приоритетам Конкурса.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3.1.2. Создание новых рабочих мест.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3.1.3. Социальная значимость результатов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3.1.4. Обоснование объема запрашиваемых средств.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3.1.5. Кадровый потенциал.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3.1.6. Транспортная доступность представляемого проекта (наличие автомобильной дороги).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3.1.7. Сезонность действия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3.1.8. Размер собственных средств, вкладываемых в реализацию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3.1.9. Вовлечение в реализацию проекта организаций сопутствующей индустрии.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3.1.10. Индекс доходности.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3.1.11. Срок окупаемости.</w:t>
      </w:r>
    </w:p>
    <w:p w:rsidR="00AA49A6" w:rsidRDefault="00CE32A1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3.1.12. Имеющиеся ресурсы.</w:t>
      </w:r>
    </w:p>
    <w:p w:rsidR="00AA49A6" w:rsidRDefault="00AA49A6">
      <w:pPr>
        <w:jc w:val="center"/>
        <w:rPr>
          <w:b/>
          <w:spacing w:val="-1"/>
        </w:rPr>
      </w:pPr>
    </w:p>
    <w:p w:rsidR="00AA49A6" w:rsidRDefault="00CE32A1">
      <w:pPr>
        <w:jc w:val="center"/>
        <w:rPr>
          <w:b/>
        </w:rPr>
      </w:pPr>
      <w:r>
        <w:rPr>
          <w:b/>
          <w:spacing w:val="-1"/>
          <w:lang w:val="en-US"/>
        </w:rPr>
        <w:t>I</w:t>
      </w:r>
      <w:r>
        <w:rPr>
          <w:b/>
          <w:spacing w:val="-1"/>
        </w:rPr>
        <w:t xml:space="preserve">V. </w:t>
      </w:r>
      <w:r>
        <w:rPr>
          <w:b/>
        </w:rPr>
        <w:t xml:space="preserve">Методические рекомендации по формированию проекта </w:t>
      </w:r>
    </w:p>
    <w:p w:rsidR="00AA49A6" w:rsidRDefault="00AA49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A49A6" w:rsidRDefault="00CE32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Методические рекомендации устанавливают основные рекомендации по составлению проекта, маркетинговую стратегию, финансовый план, описывают отрасль внутреннего и въездного туризма, туристский рынок автономного округа и его конкуренцию, туристские продукты/услуги автономного округа, определяют единые требования к структуре, содержанию и оформлению проектов, представляемых на участие в Конкурсе.</w:t>
      </w:r>
    </w:p>
    <w:p w:rsidR="00AA49A6" w:rsidRDefault="00CE32A1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Резюме проекта должно содержать краткое описание: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цели проекта;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организации, продукции и рынков, на которых осуществляется деятельность в настоящее время, управляющей команды и финансовых результатов деятельности за последние 2-3 года;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будущей деятельности организации, стратегии развития предложенного на Конкурс проекта, возможности роста, рисков и прогнозов финансового состояния на 3-5 лет;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потребностей в финансировании, включая объемы, время, предлагаемую структуру капитала и направления использования капитала;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необходимости государственной поддержки;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календарного плана.</w:t>
      </w:r>
    </w:p>
    <w:p w:rsidR="00AA49A6" w:rsidRDefault="00CE32A1">
      <w:pPr>
        <w:ind w:firstLine="709"/>
        <w:jc w:val="both"/>
      </w:pPr>
      <w:r>
        <w:t>4.3. История организации включает описание хронологической истории организации, в том числе имеющееся в собственности имущество (движимое, недвижимое), начиная от даты основания до текущего момента времени.</w:t>
      </w:r>
    </w:p>
    <w:p w:rsidR="00AA49A6" w:rsidRDefault="00CE32A1">
      <w:pPr>
        <w:ind w:firstLine="709"/>
        <w:jc w:val="both"/>
      </w:pPr>
      <w:r>
        <w:t>4.4. Описание туристских продуктов и услуг автономного округа должно содержать:</w:t>
      </w:r>
    </w:p>
    <w:p w:rsidR="00AA49A6" w:rsidRDefault="00CE32A1">
      <w:pPr>
        <w:pStyle w:val="ac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описание существующих туристских продуктов/услуг (их ключевые характеристики) и описание маркетинга, существующих систем продвижения и распределения туристской продукции и/или услуг;</w:t>
      </w:r>
    </w:p>
    <w:p w:rsidR="00AA49A6" w:rsidRDefault="00CE32A1">
      <w:pPr>
        <w:pStyle w:val="ab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важнейшие конкурентные преимущества представляемой туристской продукции и/или услуг, представление о будущем успехе организации;</w:t>
      </w:r>
    </w:p>
    <w:p w:rsidR="00AA49A6" w:rsidRDefault="00CE32A1">
      <w:pPr>
        <w:pStyle w:val="ac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описание процесса разработки новых туристских продуктов.</w:t>
      </w:r>
    </w:p>
    <w:p w:rsidR="00AA49A6" w:rsidRDefault="00CE32A1">
      <w:pPr>
        <w:ind w:firstLine="709"/>
        <w:jc w:val="both"/>
      </w:pPr>
      <w:r>
        <w:t>4.5. Управляющий и управленческий персонал: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t>краткое описание опыта работы, способностей и уровня квалификации ключевых менеджеров управляющей команды;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t>описание слабых сторон (недостатков) управляющей команды, с указанием способа их устранения. В некоторых случаях инвесторы (например, стратегические) наряду с финансированием окажут содействие в повышении эффективности управления;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lastRenderedPageBreak/>
        <w:t>описание организационно-структурной схемы организации, иллюстрирующей ключевых менеджеров и сотрудников, с указанием основных функций и зон ответственности.</w:t>
      </w:r>
    </w:p>
    <w:p w:rsidR="00AA49A6" w:rsidRDefault="00CE32A1">
      <w:pPr>
        <w:ind w:firstLine="709"/>
        <w:jc w:val="both"/>
      </w:pPr>
      <w:r>
        <w:t>4.6. Описание отрасли внутреннего и въездного туризма, туристского рынка автономного округа и конкуренции содержит:</w:t>
      </w:r>
    </w:p>
    <w:p w:rsidR="00AA49A6" w:rsidRDefault="00CE32A1">
      <w:pPr>
        <w:ind w:firstLine="709"/>
        <w:jc w:val="both"/>
      </w:pPr>
      <w:r>
        <w:t xml:space="preserve">4.6.1. способность поставщиков негативно для организации влиять </w:t>
      </w:r>
      <w:r>
        <w:br/>
        <w:t>на условия поставки;</w:t>
      </w:r>
    </w:p>
    <w:p w:rsidR="00AA49A6" w:rsidRDefault="00CE32A1">
      <w:pPr>
        <w:ind w:firstLine="709"/>
        <w:jc w:val="both"/>
      </w:pPr>
      <w:r>
        <w:t xml:space="preserve">способность покупателей негативно для организации влиять </w:t>
      </w:r>
      <w:r>
        <w:br/>
        <w:t>на условия покупки продукции и/или услуг;</w:t>
      </w:r>
    </w:p>
    <w:p w:rsidR="00AA49A6" w:rsidRDefault="00CE32A1">
      <w:pPr>
        <w:ind w:firstLine="709"/>
        <w:jc w:val="both"/>
      </w:pPr>
      <w:r>
        <w:t>возможность возникновения продуктов-заменителей;</w:t>
      </w:r>
    </w:p>
    <w:p w:rsidR="00AA49A6" w:rsidRDefault="00CE32A1">
      <w:pPr>
        <w:ind w:firstLine="709"/>
        <w:jc w:val="both"/>
      </w:pPr>
      <w:r>
        <w:t>величина барьеров на вход новых предприятий конкурентов (игроков) на туристские рынки, на которых действует организация;</w:t>
      </w:r>
    </w:p>
    <w:p w:rsidR="00AA49A6" w:rsidRDefault="00CE32A1">
      <w:pPr>
        <w:ind w:firstLine="709"/>
        <w:jc w:val="both"/>
      </w:pPr>
      <w:r>
        <w:t>уровень конкуренции в отрасли.</w:t>
      </w:r>
    </w:p>
    <w:p w:rsidR="00AA49A6" w:rsidRDefault="00CE32A1">
      <w:pPr>
        <w:ind w:firstLine="709"/>
        <w:jc w:val="both"/>
      </w:pPr>
      <w:r>
        <w:t>4.6.2. Описание туристского рынка автономного округа содержит:</w:t>
      </w:r>
    </w:p>
    <w:p w:rsidR="00AA49A6" w:rsidRDefault="00CE32A1">
      <w:pPr>
        <w:ind w:firstLine="709"/>
        <w:jc w:val="both"/>
      </w:pPr>
      <w:r>
        <w:t xml:space="preserve">определение важнейших групп потребителей, с указанием </w:t>
      </w:r>
      <w:r>
        <w:br/>
        <w:t>их важнейших характеристик;</w:t>
      </w:r>
    </w:p>
    <w:p w:rsidR="00AA49A6" w:rsidRDefault="00CE32A1">
      <w:pPr>
        <w:ind w:firstLine="709"/>
        <w:jc w:val="both"/>
      </w:pPr>
      <w:r>
        <w:t xml:space="preserve">описание исторического и предполагаемого в будущем роста рынка и рыночных сегментов; </w:t>
      </w:r>
    </w:p>
    <w:p w:rsidR="00AA49A6" w:rsidRDefault="00CE32A1">
      <w:pPr>
        <w:ind w:firstLine="709"/>
        <w:jc w:val="both"/>
      </w:pPr>
      <w:r>
        <w:t>определение существующих рынков (регионального, национального, международного) и будущих рынков (в связи с возможностями будущего роста);</w:t>
      </w:r>
    </w:p>
    <w:p w:rsidR="00AA49A6" w:rsidRDefault="00CE32A1">
      <w:pPr>
        <w:ind w:firstLine="709"/>
        <w:jc w:val="both"/>
      </w:pPr>
      <w:r>
        <w:t>описание способов дистрибуции туристской продукции/услуг в каждом из целевых сегментов;</w:t>
      </w:r>
    </w:p>
    <w:p w:rsidR="00AA49A6" w:rsidRDefault="00CE32A1">
      <w:pPr>
        <w:ind w:firstLine="709"/>
        <w:jc w:val="both"/>
      </w:pPr>
      <w:r>
        <w:t>описание специфических и других характеристик целевых потребителей и областей, которые определяют наиболее высокие возможности для роста (включая влияние поставщиков, барьеры на пути внедрения на рынок, сезонность, цикличность, валюта и т.п.).</w:t>
      </w:r>
    </w:p>
    <w:p w:rsidR="00AA49A6" w:rsidRDefault="00CE32A1">
      <w:pPr>
        <w:ind w:firstLine="709"/>
        <w:jc w:val="both"/>
      </w:pPr>
      <w:r>
        <w:t xml:space="preserve">4.6.3. Конкуренция (описание ключевых факторов успеха </w:t>
      </w:r>
      <w:r>
        <w:br/>
        <w:t>на внутреннем и въездном туристском рынке: ценовая политика, качество туристского продукта, надежность, качество обслуживания клиентов, стиль поведения, имидж, система продвижения продукции и т.п.).</w:t>
      </w:r>
    </w:p>
    <w:p w:rsidR="00AA49A6" w:rsidRDefault="00CE32A1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Операции организации (информация, дающая представление о том, как функционирует организация в турбизнесе).</w:t>
      </w:r>
    </w:p>
    <w:p w:rsidR="00AA49A6" w:rsidRDefault="00CE32A1">
      <w:pPr>
        <w:ind w:firstLine="709"/>
        <w:jc w:val="both"/>
      </w:pPr>
      <w:r>
        <w:t>4.8. Финансовая история: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баланс;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отчет о прибылях и убытках;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отчет о денежных потоках.</w:t>
      </w:r>
    </w:p>
    <w:p w:rsidR="00AA49A6" w:rsidRDefault="00CE32A1">
      <w:pPr>
        <w:ind w:firstLine="709"/>
        <w:jc w:val="both"/>
      </w:pPr>
      <w:r>
        <w:t xml:space="preserve">4.8.1. Финансовый анализ (показатели платежеспособности </w:t>
      </w:r>
      <w:r>
        <w:br/>
        <w:t>и ликвидности):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срочной (абсолютной) ликвидности QR;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текущей ликвидности CR;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долгосрочные обязательства к собственному капиталу LTD/EQ;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суммарные обязательства к собственному капиталу TD/EQ;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обеспеченности собственными оборотными средствами;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индекс доходности;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восстановления (утраты) платежеспособности.</w:t>
      </w:r>
    </w:p>
    <w:p w:rsidR="00AA49A6" w:rsidRDefault="00CE32A1">
      <w:pPr>
        <w:pStyle w:val="20"/>
        <w:ind w:firstLine="709"/>
        <w:rPr>
          <w:b w:val="0"/>
          <w:szCs w:val="24"/>
        </w:rPr>
      </w:pPr>
      <w:r>
        <w:rPr>
          <w:b w:val="0"/>
          <w:szCs w:val="24"/>
        </w:rPr>
        <w:t>4.9. Стратегический план содержит: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 стратегического плана развития организации, возможности роста и способы обеспечения;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конкретных действий, которые будут реализованы </w:t>
      </w:r>
      <w:r>
        <w:rPr>
          <w:sz w:val="24"/>
          <w:szCs w:val="24"/>
        </w:rPr>
        <w:br/>
        <w:t>в процессе выполнения стратегического плана;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описание ожидаемого эффекта от действий на маркетинг и сбыт, издержки, финансирование, человеческие ресурсы и производственные функции.</w:t>
      </w:r>
    </w:p>
    <w:p w:rsidR="00AA49A6" w:rsidRDefault="00CE32A1">
      <w:pPr>
        <w:ind w:firstLine="709"/>
        <w:jc w:val="both"/>
      </w:pPr>
      <w:r>
        <w:t>4.10. Производственная программа включает аргументирование выбора производственного процесса и характеристику технико-экономических показателей согласно проектно- сметной документации, утвержденной претендентом.</w:t>
      </w:r>
    </w:p>
    <w:p w:rsidR="00AA49A6" w:rsidRDefault="00CE32A1">
      <w:pPr>
        <w:ind w:firstLine="709"/>
        <w:jc w:val="both"/>
      </w:pPr>
      <w:r>
        <w:t>4.11. Стратегия маркетинга содержит:</w:t>
      </w:r>
    </w:p>
    <w:p w:rsidR="00AA49A6" w:rsidRDefault="00CE32A1">
      <w:pPr>
        <w:numPr>
          <w:ilvl w:val="0"/>
          <w:numId w:val="1"/>
        </w:numPr>
        <w:ind w:left="0" w:firstLine="709"/>
        <w:jc w:val="both"/>
      </w:pPr>
      <w:r>
        <w:t>стратегия продвижения туристских продуктов/услуг;</w:t>
      </w:r>
    </w:p>
    <w:p w:rsidR="00AA49A6" w:rsidRDefault="00CE32A1">
      <w:pPr>
        <w:numPr>
          <w:ilvl w:val="0"/>
          <w:numId w:val="1"/>
        </w:numPr>
        <w:ind w:left="0" w:firstLine="709"/>
        <w:jc w:val="both"/>
      </w:pPr>
      <w:r>
        <w:t>стратегия ценообразования;</w:t>
      </w:r>
    </w:p>
    <w:p w:rsidR="00AA49A6" w:rsidRDefault="00CE32A1">
      <w:pPr>
        <w:pStyle w:val="20"/>
        <w:numPr>
          <w:ilvl w:val="0"/>
          <w:numId w:val="1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стратегия распределения (продаж).</w:t>
      </w:r>
    </w:p>
    <w:p w:rsidR="00AA49A6" w:rsidRDefault="00CE32A1">
      <w:pPr>
        <w:ind w:firstLine="709"/>
        <w:jc w:val="both"/>
      </w:pPr>
      <w:r>
        <w:t>4.12. Финансовый план включает описание потребности в финансовых ресурсах, предполагаемых источников и схем финансирования, ответственности заемщиков и систем гарантий.</w:t>
      </w:r>
    </w:p>
    <w:p w:rsidR="00AA49A6" w:rsidRDefault="00CE32A1">
      <w:pPr>
        <w:ind w:firstLine="709"/>
        <w:jc w:val="both"/>
      </w:pPr>
      <w:r>
        <w:t>4.13. Анализ чувствительности туристского проекта включает анализ устойчивости проекта к возможным изменениям экономической ситуации в целом.</w:t>
      </w:r>
    </w:p>
    <w:p w:rsidR="00AA49A6" w:rsidRDefault="00CE32A1">
      <w:pPr>
        <w:ind w:firstLine="709"/>
        <w:jc w:val="both"/>
      </w:pPr>
      <w:r>
        <w:t>4.14. Факторы рисков и стратегия снижения рисков (описание рисков, с которыми может столкнуться организация в процессе реализации туристского проекта).</w:t>
      </w:r>
    </w:p>
    <w:p w:rsidR="00AA49A6" w:rsidRDefault="00CE32A1">
      <w:pPr>
        <w:ind w:firstLine="709"/>
        <w:jc w:val="both"/>
      </w:pPr>
      <w:r>
        <w:t>Полная информация о методических рекомендациях по формированию проекта размещена на тематическом сайте https://tourism.admhmao.ru в разделе «Государственная поддержка туризма».</w:t>
      </w:r>
    </w:p>
    <w:p w:rsidR="00AA49A6" w:rsidRDefault="00AA49A6">
      <w:pPr>
        <w:jc w:val="center"/>
        <w:rPr>
          <w:b/>
          <w:color w:val="000000"/>
          <w:spacing w:val="-1"/>
        </w:rPr>
      </w:pPr>
    </w:p>
    <w:p w:rsidR="00AA49A6" w:rsidRDefault="00CE32A1">
      <w:pPr>
        <w:jc w:val="center"/>
        <w:rPr>
          <w:b/>
        </w:rPr>
      </w:pPr>
      <w:r>
        <w:rPr>
          <w:b/>
          <w:color w:val="000000"/>
          <w:spacing w:val="-1"/>
        </w:rPr>
        <w:t>V.</w:t>
      </w:r>
      <w:r>
        <w:rPr>
          <w:b/>
        </w:rPr>
        <w:t xml:space="preserve"> Порядок предоставления Гранта и контроль за целевым</w:t>
      </w:r>
    </w:p>
    <w:p w:rsidR="00AA49A6" w:rsidRDefault="00CE32A1">
      <w:pPr>
        <w:jc w:val="center"/>
        <w:rPr>
          <w:b/>
        </w:rPr>
      </w:pPr>
      <w:r>
        <w:rPr>
          <w:b/>
        </w:rPr>
        <w:t>использованием средств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ind w:firstLine="709"/>
        <w:jc w:val="both"/>
      </w:pPr>
      <w:r>
        <w:t>5.1. Департамент в течение 10 рабочих дней со дня подписания протокола, издает приказ о присуждении гранта, в котором содержится информация о грантополучателе (наименование организации, реквизиты), направление и степень гранта, сумма гранта.</w:t>
      </w:r>
    </w:p>
    <w:p w:rsidR="00AA49A6" w:rsidRDefault="00CE32A1">
      <w:pPr>
        <w:ind w:firstLine="709"/>
        <w:jc w:val="both"/>
      </w:pPr>
      <w:r>
        <w:t>5.2. Обязательными условиями Соглашения, форма которого утверждена Приказом Департамента финансов Ханты-Мансийского автономного округа – Югры № 15-нп от 05.08.2019 «Об утверждении типовых форм соглашений (договоров) о предоставлении грантов в форме субсидий из бюджета Ханты-Мансийского автономного округа – Югры» являются согласие грантополучателя на осуществление Департаментом, Комиссией и органом государственного финансового контроля автономного округа проверок соблюдения грантополучателем условий, целей и порядка реализации гранта, а также обеспечение грантополучателем при реализации проектов с участием граждан мер безопасности в соответствии с действующим законодательством.</w:t>
      </w:r>
    </w:p>
    <w:p w:rsidR="00AA49A6" w:rsidRDefault="00CE32A1">
      <w:pPr>
        <w:ind w:firstLine="709"/>
        <w:jc w:val="both"/>
      </w:pPr>
      <w:r>
        <w:t>5.3. Грантополучатель в течение 8 рабочих дней со дня получения проекта Соглашения предоставляет в Департамент уточненную смету, предоставленную в заявке, подписанное Соглашение. Непредставление грантополучателем подписанного Соглашения в адрес Департамента в указанный срок расценивается как отказ от заключения Соглашения.</w:t>
      </w:r>
    </w:p>
    <w:p w:rsidR="00AA49A6" w:rsidRDefault="00CE32A1">
      <w:pPr>
        <w:ind w:firstLine="709"/>
        <w:jc w:val="both"/>
      </w:pPr>
      <w:r>
        <w:t>5.4. Департамент после получения подписанного грантополучателем Соглашения в течение 3 рабочих дней проверяет правильность заполнения сметы, подписывает Соглашение в 2 экземплярах и в течение 3 рабочих дней направляет грантополучателю 1 экземпляр подписанного Соглашения.</w:t>
      </w:r>
    </w:p>
    <w:p w:rsidR="00AA49A6" w:rsidRDefault="00CE32A1">
      <w:pPr>
        <w:ind w:firstLine="709"/>
        <w:jc w:val="both"/>
      </w:pPr>
      <w:r>
        <w:rPr>
          <w:b/>
        </w:rPr>
        <w:t>Перечисление Гранта осуществляется в соответствии с бюджетным законодательством Российской Федерации на лицевой счет, открытый грантополучателю в Департаменте финансов Ханты-Мансийского автономного округа – Югры.</w:t>
      </w:r>
    </w:p>
    <w:p w:rsidR="00AA49A6" w:rsidRDefault="00CE32A1">
      <w:pPr>
        <w:ind w:firstLine="709"/>
        <w:jc w:val="both"/>
      </w:pPr>
      <w:r>
        <w:t>5.5. Грантополучатель обязан израсходовать средства гранта в течение срока реализации проекта, указанного в подпункте 2.3.5 пункта 2.3 Порядка.</w:t>
      </w:r>
    </w:p>
    <w:p w:rsidR="00AA49A6" w:rsidRDefault="00CE32A1">
      <w:pPr>
        <w:ind w:firstLine="709"/>
        <w:jc w:val="both"/>
      </w:pPr>
      <w:r>
        <w:t xml:space="preserve">5.6. Грантополучатель имеет право направить в Комиссию предложения по перераспределению средств между статьями сметы расходов до окончания срока </w:t>
      </w:r>
      <w:r>
        <w:lastRenderedPageBreak/>
        <w:t>реализации проекта, указанных в смете, но не более 3 раз, путем внесения изменений в Соглашение.</w:t>
      </w:r>
    </w:p>
    <w:p w:rsidR="00AA49A6" w:rsidRDefault="00CE32A1">
      <w:pPr>
        <w:ind w:firstLine="709"/>
        <w:jc w:val="both"/>
      </w:pPr>
      <w:r>
        <w:t>Комиссия рассматривает предложение грантополучателя в течение 30 рабочих дней со дня его регистрации в Департаменте и принимает решение об его удовлетворении или отказе в удовлетворении.</w:t>
      </w:r>
    </w:p>
    <w:p w:rsidR="00AA49A6" w:rsidRDefault="00CE32A1">
      <w:pPr>
        <w:ind w:firstLine="709"/>
        <w:jc w:val="both"/>
      </w:pPr>
      <w:r>
        <w:t>5.7. Изменения условий Соглашения осуществляется путем заключения дополнительных соглашений.</w:t>
      </w:r>
    </w:p>
    <w:p w:rsidR="00AA49A6" w:rsidRDefault="00CE32A1">
      <w:pPr>
        <w:ind w:firstLine="709"/>
        <w:jc w:val="both"/>
      </w:pPr>
      <w:r>
        <w:t>5.8. Все имущество, созданное и приобретенное в результате реализации проекта, должно быть использовано грантополучателем в течение 5 лет только на цели, указанные в проекте.</w:t>
      </w:r>
    </w:p>
    <w:p w:rsidR="00AA49A6" w:rsidRDefault="00CE32A1">
      <w:pPr>
        <w:ind w:firstLine="709"/>
        <w:jc w:val="both"/>
      </w:pPr>
      <w:r>
        <w:t>5.9. Грантополучатель обязан в период реализации проекта по итогам полугодия, следующего с момента получения гранта, в течение 1 месяца, следующего за отчетным периодом, представить в Департамент промежуточный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</w:p>
    <w:p w:rsidR="00AA49A6" w:rsidRDefault="00CE32A1">
      <w:pPr>
        <w:ind w:firstLine="709"/>
        <w:jc w:val="both"/>
      </w:pPr>
      <w:r>
        <w:t>5.10. Грантополучатель обязан после реализации проекта до 20 января года, следующего за годом окончания реализации проекта, представить в Департамент заключительный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</w:p>
    <w:p w:rsidR="00AA49A6" w:rsidRDefault="00CE32A1">
      <w:pPr>
        <w:ind w:firstLine="709"/>
        <w:jc w:val="both"/>
      </w:pPr>
      <w:r>
        <w:t>5.11. Комиссия осуществляет рассмотрение предоставленных отчетов, указанных в пунктах 5.9., 5.10. в течение 30 рабочих дней со дня поступления отчетов и выносит решение о принятии или непринятии данных отчетов, о чем Департамент извещает грантополучателя в течение 5 рабочих дней.</w:t>
      </w:r>
      <w:r>
        <w:br w:type="page"/>
      </w:r>
    </w:p>
    <w:p w:rsidR="00AA49A6" w:rsidRDefault="00CE32A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</w:pPr>
    </w:p>
    <w:p w:rsidR="00AA49A6" w:rsidRDefault="00CE32A1">
      <w:pPr>
        <w:jc w:val="center"/>
      </w:pPr>
      <w:r>
        <w:t>Заявка на участие в конкурсе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AA49A6" w:rsidRDefault="00CE32A1">
      <w:pPr>
        <w:jc w:val="center"/>
      </w:pPr>
      <w:r>
        <w:t>на официальном бланке участника</w:t>
      </w:r>
    </w:p>
    <w:p w:rsidR="00AA49A6" w:rsidRDefault="00AA49A6">
      <w:pPr>
        <w:jc w:val="center"/>
      </w:pPr>
    </w:p>
    <w:p w:rsidR="00AA49A6" w:rsidRDefault="00CE32A1">
      <w:r>
        <w:t>№ исх___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>
        <w:t>г.</w:t>
      </w:r>
    </w:p>
    <w:p w:rsidR="00AA49A6" w:rsidRDefault="00AA49A6"/>
    <w:p w:rsidR="00AA49A6" w:rsidRDefault="00AA49A6"/>
    <w:p w:rsidR="00AA49A6" w:rsidRDefault="00CE32A1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</w:t>
      </w:r>
    </w:p>
    <w:p w:rsidR="00AA49A6" w:rsidRDefault="00CE32A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(ФИО)</w:t>
      </w:r>
    </w:p>
    <w:p w:rsidR="00AA49A6" w:rsidRDefault="00CE32A1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</w:t>
      </w:r>
    </w:p>
    <w:p w:rsidR="00AA49A6" w:rsidRDefault="00CE32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</w:t>
      </w:r>
      <w:r>
        <w:rPr>
          <w:color w:val="000000"/>
          <w:spacing w:val="-2"/>
          <w:sz w:val="22"/>
          <w:szCs w:val="22"/>
        </w:rPr>
        <w:t>юридического лица (индивидуального предпринимателя))</w:t>
      </w:r>
    </w:p>
    <w:p w:rsidR="00AA49A6" w:rsidRDefault="00AA49A6">
      <w:pPr>
        <w:spacing w:line="360" w:lineRule="auto"/>
        <w:jc w:val="both"/>
        <w:rPr>
          <w:sz w:val="26"/>
          <w:szCs w:val="26"/>
        </w:rPr>
      </w:pPr>
    </w:p>
    <w:p w:rsidR="00AA49A6" w:rsidRDefault="00CE32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направляю заявку на участие в конкурсе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 с проектом________________________________(название проекта) по направлению Конкурса ________________________________________, на грант __ степени, в размере _____________рублей. </w:t>
      </w:r>
    </w:p>
    <w:p w:rsidR="00AA49A6" w:rsidRDefault="00CE32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Настоящим я, подтверждаю достоверность, предоставленной мною информации и подтверждаю свое согласие на участие в данном конкурсе на условиях, предусмотренных Порядком.</w:t>
      </w:r>
    </w:p>
    <w:p w:rsidR="00AA49A6" w:rsidRDefault="00CE32A1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>Обязуюсь реализовать проект на условиях софинансирования за счет собственных средств в размере не менее 50% от сметы расходов по проекту на грант, в размере ______________рублей.</w:t>
      </w:r>
    </w:p>
    <w:p w:rsidR="00AA49A6" w:rsidRDefault="00AA49A6">
      <w:pPr>
        <w:spacing w:line="360" w:lineRule="auto"/>
        <w:jc w:val="both"/>
        <w:rPr>
          <w:sz w:val="20"/>
          <w:szCs w:val="20"/>
        </w:rPr>
      </w:pPr>
    </w:p>
    <w:p w:rsidR="00AA49A6" w:rsidRDefault="00CE32A1">
      <w:pPr>
        <w:jc w:val="both"/>
      </w:pPr>
      <w:r>
        <w:t>Дата подачи заявки:</w:t>
      </w:r>
    </w:p>
    <w:p w:rsidR="00AA49A6" w:rsidRDefault="00CE32A1">
      <w:pPr>
        <w:jc w:val="both"/>
      </w:pPr>
      <w:r>
        <w:t>«____»____________20___год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</w:pPr>
    </w:p>
    <w:p w:rsidR="00AA49A6" w:rsidRDefault="00CE32A1">
      <w:pPr>
        <w:jc w:val="center"/>
      </w:pPr>
      <w:r>
        <w:t>Паспорт заявки для участие в конкурсе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AA49A6" w:rsidRDefault="00CE32A1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официальном бланке соискателя</w:t>
      </w:r>
    </w:p>
    <w:p w:rsidR="00AA49A6" w:rsidRDefault="00AA49A6">
      <w:pPr>
        <w:jc w:val="center"/>
      </w:pPr>
    </w:p>
    <w:p w:rsidR="00AA49A6" w:rsidRDefault="00CE32A1">
      <w:r>
        <w:t>№ исх__________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>
        <w:t>г.</w:t>
      </w:r>
    </w:p>
    <w:p w:rsidR="00AA49A6" w:rsidRDefault="00AA49A6"/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5811"/>
        <w:gridCol w:w="2801"/>
      </w:tblGrid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организации (индивидуального предпринимателя)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Адрес организации/местонахождение ИП, реквизиты (ИНН/КПП, расчетный счет, корреспондирующий счет, наименование банка)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Номера телефона, факса, адрес электронной почты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Ф.И.О. руководителя организации (индивидуального предпринимателя)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Ф.И.О. руководителя (автора проекта)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Перечень членов творческого или научного коллектива (если проект коллективный), их Ф.И.О., место работы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направления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Название проекта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Общий бюджет проекта (в руб.)</w:t>
            </w:r>
          </w:p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Из них: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собственные финансовые средства в проекта (в руб.)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средства гранта (в руб.)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Сроки реализации проекта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</w:tbl>
    <w:p w:rsidR="00AA49A6" w:rsidRDefault="00AA49A6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49A6" w:rsidRDefault="00CE32A1">
      <w:pPr>
        <w:pStyle w:val="ConsPlusNonformat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Заполняется сотрудником Департамента промышленности Ханты-Мансийского автономного округа - Югры</w:t>
      </w:r>
    </w:p>
    <w:p w:rsidR="00AA49A6" w:rsidRDefault="00AA49A6">
      <w:pPr>
        <w:pStyle w:val="ConsPlusNonformat"/>
        <w:rPr>
          <w:rFonts w:ascii="Times New Roman" w:hAnsi="Times New Roman" w:cs="Times New Roman"/>
          <w:szCs w:val="24"/>
        </w:rPr>
      </w:pPr>
    </w:p>
    <w:p w:rsidR="00AA49A6" w:rsidRDefault="00CE32A1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регистрации заявки «____»____________20___год</w:t>
      </w:r>
    </w:p>
    <w:p w:rsidR="00AA49A6" w:rsidRDefault="00CE32A1">
      <w:pPr>
        <w:jc w:val="both"/>
      </w:pPr>
      <w:r>
        <w:t>Регистрационный №____</w:t>
      </w:r>
    </w:p>
    <w:p w:rsidR="00AA49A6" w:rsidRDefault="00CE32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Подпись, Ф.И.О. сотрудника, принявшего заявку __________________________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right"/>
        <w:rPr>
          <w:sz w:val="20"/>
          <w:szCs w:val="20"/>
        </w:rPr>
      </w:pPr>
    </w:p>
    <w:p w:rsidR="00AA49A6" w:rsidRDefault="00CE32A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 проекта ___________________ по предоставлению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грантов в форме субсидии из бюджета Ханты-Мансийского автономного</w:t>
      </w:r>
    </w:p>
    <w:p w:rsidR="00AA49A6" w:rsidRDefault="00CE3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– Югры на развитие внутреннего, въездного, в том числе этнографического туризма </w:t>
      </w:r>
    </w:p>
    <w:p w:rsidR="00AA49A6" w:rsidRDefault="00AA49A6">
      <w:pPr>
        <w:jc w:val="center"/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2407"/>
        <w:gridCol w:w="2375"/>
        <w:gridCol w:w="1986"/>
        <w:gridCol w:w="1844"/>
      </w:tblGrid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49A6" w:rsidRDefault="00CE32A1">
            <w:pPr>
              <w:jc w:val="center"/>
            </w:pPr>
            <w:r>
              <w:t>п/п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</w:pPr>
            <w:r>
              <w:t>Срок реализации мероприятия в рамках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A49A6" w:rsidRDefault="00CE32A1">
            <w:pPr>
              <w:jc w:val="center"/>
            </w:pPr>
            <w:r>
              <w:t>руб. (за счет средств гранта)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AA49A6" w:rsidRDefault="00CE32A1">
            <w:pPr>
              <w:jc w:val="center"/>
            </w:pPr>
            <w:r>
              <w:t>собственных средств, руб.</w:t>
            </w: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</w:tbl>
    <w:p w:rsidR="00AA49A6" w:rsidRDefault="00AA49A6"/>
    <w:p w:rsidR="00AA49A6" w:rsidRDefault="00AA49A6"/>
    <w:p w:rsidR="00AA49A6" w:rsidRDefault="00AA49A6"/>
    <w:p w:rsidR="00AA49A6" w:rsidRDefault="00CE32A1">
      <w:r>
        <w:t xml:space="preserve">Грантополучатель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AA49A6" w:rsidRDefault="00CE32A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>
        <w:rPr>
          <w:sz w:val="20"/>
          <w:szCs w:val="20"/>
        </w:rPr>
        <w:t>одпись</w:t>
      </w:r>
    </w:p>
    <w:p w:rsidR="00AA49A6" w:rsidRDefault="00AA49A6">
      <w:pPr>
        <w:rPr>
          <w:sz w:val="20"/>
          <w:szCs w:val="20"/>
        </w:rPr>
      </w:pPr>
    </w:p>
    <w:p w:rsidR="00AA49A6" w:rsidRDefault="00CE32A1">
      <w:pPr>
        <w:rPr>
          <w:sz w:val="20"/>
          <w:szCs w:val="20"/>
        </w:rPr>
      </w:pPr>
      <w:r>
        <w:rPr>
          <w:sz w:val="20"/>
          <w:szCs w:val="20"/>
        </w:rPr>
        <w:t>М.п.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</w:rPr>
      </w:pPr>
      <w:r>
        <w:rPr>
          <w:b/>
        </w:rPr>
        <w:t>на официальном бланке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both"/>
      </w:pPr>
      <w:r>
        <w:t xml:space="preserve">№ исх 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 г.</w:t>
      </w: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right"/>
      </w:pPr>
      <w:r>
        <w:t>Директору</w:t>
      </w:r>
    </w:p>
    <w:p w:rsidR="00AA49A6" w:rsidRDefault="00CE32A1">
      <w:pPr>
        <w:jc w:val="right"/>
      </w:pPr>
      <w:r>
        <w:t>Департамента промышленности</w:t>
      </w:r>
    </w:p>
    <w:p w:rsidR="00AA49A6" w:rsidRDefault="00CE32A1">
      <w:pPr>
        <w:jc w:val="right"/>
      </w:pPr>
      <w:r>
        <w:t>Ханты-Мансийского автономного</w:t>
      </w:r>
    </w:p>
    <w:p w:rsidR="00AA49A6" w:rsidRDefault="00CE32A1">
      <w:pPr>
        <w:jc w:val="right"/>
      </w:pPr>
      <w:r>
        <w:t>округа – Югры</w:t>
      </w:r>
    </w:p>
    <w:p w:rsidR="00AA49A6" w:rsidRDefault="00AA49A6">
      <w:pPr>
        <w:jc w:val="right"/>
      </w:pPr>
    </w:p>
    <w:p w:rsidR="00AA49A6" w:rsidRDefault="00CE32A1">
      <w:pPr>
        <w:jc w:val="right"/>
      </w:pPr>
      <w:r>
        <w:t>К.С. Зайцеву</w:t>
      </w:r>
    </w:p>
    <w:p w:rsidR="00AA49A6" w:rsidRDefault="00AA49A6">
      <w:pPr>
        <w:jc w:val="right"/>
      </w:pPr>
    </w:p>
    <w:p w:rsidR="00AA49A6" w:rsidRDefault="00AA49A6">
      <w:pPr>
        <w:jc w:val="center"/>
      </w:pPr>
    </w:p>
    <w:p w:rsidR="00AA49A6" w:rsidRDefault="00AA49A6">
      <w:pPr>
        <w:jc w:val="center"/>
      </w:pPr>
    </w:p>
    <w:p w:rsidR="00AA49A6" w:rsidRDefault="00AA49A6">
      <w:pPr>
        <w:jc w:val="center"/>
      </w:pPr>
    </w:p>
    <w:p w:rsidR="00AA49A6" w:rsidRDefault="00CE32A1">
      <w:pPr>
        <w:jc w:val="center"/>
      </w:pPr>
      <w:r>
        <w:t>Уважаемый Кирилл Сергеевич!</w:t>
      </w:r>
    </w:p>
    <w:p w:rsidR="00AA49A6" w:rsidRDefault="00AA49A6">
      <w:pPr>
        <w:jc w:val="center"/>
      </w:pPr>
    </w:p>
    <w:p w:rsidR="00AA49A6" w:rsidRDefault="00CE32A1">
      <w:pPr>
        <w:spacing w:line="360" w:lineRule="auto"/>
        <w:jc w:val="both"/>
      </w:pPr>
      <w:r>
        <w:t>Настоящим ___________________________________________________________________</w:t>
      </w:r>
    </w:p>
    <w:p w:rsidR="00AA49A6" w:rsidRDefault="00CE32A1">
      <w:pPr>
        <w:spacing w:line="360" w:lineRule="auto"/>
        <w:ind w:left="1416"/>
        <w:jc w:val="both"/>
      </w:pPr>
      <w:r>
        <w:t>(наименование претендента на участие в конкурсе на получение грантов)</w:t>
      </w:r>
    </w:p>
    <w:p w:rsidR="00AA49A6" w:rsidRDefault="00CE32A1">
      <w:pPr>
        <w:spacing w:line="360" w:lineRule="auto"/>
        <w:jc w:val="both"/>
      </w:pPr>
      <w:r>
        <w:t>направляет заявку на участие в конкурсе 20__ года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 по направлению ________________________</w:t>
      </w: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CE32A1">
      <w:pPr>
        <w:jc w:val="both"/>
      </w:pPr>
      <w:r>
        <w:t>Претендент/руководитель организации</w:t>
      </w:r>
    </w:p>
    <w:p w:rsidR="00AA49A6" w:rsidRDefault="00CE32A1">
      <w:pPr>
        <w:jc w:val="both"/>
      </w:pPr>
      <w:r>
        <w:t>_________________/_______________</w:t>
      </w:r>
    </w:p>
    <w:p w:rsidR="00AA49A6" w:rsidRDefault="00CE32A1">
      <w:r>
        <w:rPr>
          <w:b/>
        </w:rPr>
        <w:tab/>
      </w:r>
      <w:r>
        <w:t>(подпись)</w:t>
      </w:r>
      <w:r>
        <w:tab/>
        <w:t>(расшифровка)</w:t>
      </w:r>
    </w:p>
    <w:sectPr w:rsidR="00AA49A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6D7"/>
    <w:multiLevelType w:val="multilevel"/>
    <w:tmpl w:val="B630BDEE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1694B20"/>
    <w:multiLevelType w:val="multilevel"/>
    <w:tmpl w:val="7A126D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CD5DD4"/>
    <w:multiLevelType w:val="multilevel"/>
    <w:tmpl w:val="C146487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A012792"/>
    <w:multiLevelType w:val="multilevel"/>
    <w:tmpl w:val="AEE4DFA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6186F73"/>
    <w:multiLevelType w:val="multilevel"/>
    <w:tmpl w:val="C78E093C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7C52F45"/>
    <w:multiLevelType w:val="multilevel"/>
    <w:tmpl w:val="3208B43E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828570F"/>
    <w:multiLevelType w:val="multilevel"/>
    <w:tmpl w:val="52564088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9C01522"/>
    <w:multiLevelType w:val="multilevel"/>
    <w:tmpl w:val="DC067398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A6"/>
    <w:rsid w:val="00806817"/>
    <w:rsid w:val="00AA49A6"/>
    <w:rsid w:val="00C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234F-29EA-48C1-BDAA-9DB5B986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6414F"/>
    <w:rPr>
      <w:color w:val="0000FF"/>
      <w:u w:val="single"/>
    </w:rPr>
  </w:style>
  <w:style w:type="character" w:customStyle="1" w:styleId="2">
    <w:name w:val="Основной текст 2 Знак"/>
    <w:link w:val="2"/>
    <w:qFormat/>
    <w:rsid w:val="00A16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uiPriority w:val="99"/>
    <w:qFormat/>
    <w:rsid w:val="00A1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uiPriority w:val="1"/>
    <w:qFormat/>
    <w:locked/>
    <w:rsid w:val="00A3001F"/>
    <w:rPr>
      <w:rFonts w:eastAsia="Times New Roman"/>
      <w:sz w:val="22"/>
      <w:szCs w:val="22"/>
      <w:lang w:bidi="ar-SA"/>
    </w:rPr>
  </w:style>
  <w:style w:type="character" w:customStyle="1" w:styleId="ConsPlusNormal">
    <w:name w:val="ConsPlusNormal Знак"/>
    <w:link w:val="ConsPlusNormal"/>
    <w:qFormat/>
    <w:locked/>
    <w:rsid w:val="00A0464B"/>
    <w:rPr>
      <w:rFonts w:ascii="Arial" w:eastAsia="Times New Roman" w:hAnsi="Arial" w:cs="Arial"/>
      <w:lang w:val="ru-RU" w:eastAsia="ru-RU" w:bidi="ar-SA"/>
    </w:rPr>
  </w:style>
  <w:style w:type="character" w:styleId="a5">
    <w:name w:val="FollowedHyperlink"/>
    <w:uiPriority w:val="99"/>
    <w:semiHidden/>
    <w:unhideWhenUsed/>
    <w:qFormat/>
    <w:rsid w:val="00E05A11"/>
    <w:rPr>
      <w:color w:val="800080"/>
      <w:u w:val="single"/>
    </w:rPr>
  </w:style>
  <w:style w:type="character" w:customStyle="1" w:styleId="ListLabel28">
    <w:name w:val="ListLabel 28"/>
    <w:qFormat/>
    <w:rsid w:val="00854A26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pacing w:val="-1"/>
    </w:rPr>
  </w:style>
  <w:style w:type="character" w:customStyle="1" w:styleId="ListLabel72">
    <w:name w:val="ListLabel 72"/>
    <w:qFormat/>
    <w:rPr>
      <w:color w:val="000000"/>
      <w:u w:val="none"/>
    </w:rPr>
  </w:style>
  <w:style w:type="character" w:customStyle="1" w:styleId="ListLabel73">
    <w:name w:val="ListLabel 73"/>
    <w:qFormat/>
    <w:rPr>
      <w:rFonts w:cs="Sylfaen"/>
      <w:b w:val="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lfaen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lfaen"/>
      <w:b w:val="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lfae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lfae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lfae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lfae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pacing w:val="-1"/>
    </w:rPr>
  </w:style>
  <w:style w:type="character" w:customStyle="1" w:styleId="ListLabel137">
    <w:name w:val="ListLabel 137"/>
    <w:qFormat/>
    <w:rPr>
      <w:color w:val="000000"/>
      <w:u w:val="none"/>
    </w:rPr>
  </w:style>
  <w:style w:type="character" w:customStyle="1" w:styleId="ListLabel138">
    <w:name w:val="ListLabel 138"/>
    <w:qFormat/>
    <w:rPr>
      <w:rFonts w:cs="Sylfaen"/>
      <w:b w:val="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lfaen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lfaen"/>
      <w:b w:val="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lfaen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lfaen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lfae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lfaen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color w:val="000000"/>
    </w:rPr>
  </w:style>
  <w:style w:type="character" w:customStyle="1" w:styleId="ListLabel202">
    <w:name w:val="ListLabel 202"/>
    <w:qFormat/>
    <w:rPr>
      <w:spacing w:val="-1"/>
    </w:rPr>
  </w:style>
  <w:style w:type="character" w:customStyle="1" w:styleId="ListLabel203">
    <w:name w:val="ListLabel 203"/>
    <w:qFormat/>
    <w:rPr>
      <w:color w:val="auto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unhideWhenUsed/>
    <w:rsid w:val="00A16219"/>
    <w:pPr>
      <w:spacing w:after="120"/>
    </w:pPr>
    <w:rPr>
      <w:sz w:val="20"/>
      <w:szCs w:val="20"/>
      <w:lang w:val="x-none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A16219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Normal0">
    <w:name w:val="ConsPlusNormal"/>
    <w:qFormat/>
    <w:rsid w:val="00A16219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styleId="20">
    <w:name w:val="Body Text 2"/>
    <w:basedOn w:val="a"/>
    <w:qFormat/>
    <w:rsid w:val="00A16219"/>
    <w:pPr>
      <w:jc w:val="both"/>
    </w:pPr>
    <w:rPr>
      <w:b/>
      <w:szCs w:val="20"/>
      <w:lang w:val="x-none"/>
    </w:rPr>
  </w:style>
  <w:style w:type="paragraph" w:customStyle="1" w:styleId="ab">
    <w:name w:val="Термин"/>
    <w:basedOn w:val="a"/>
    <w:next w:val="ac"/>
    <w:qFormat/>
    <w:rsid w:val="00A16219"/>
    <w:rPr>
      <w:szCs w:val="20"/>
    </w:rPr>
  </w:style>
  <w:style w:type="paragraph" w:customStyle="1" w:styleId="ac">
    <w:name w:val="Список определений"/>
    <w:basedOn w:val="a"/>
    <w:next w:val="ab"/>
    <w:qFormat/>
    <w:rsid w:val="00A16219"/>
    <w:pPr>
      <w:ind w:left="360"/>
    </w:pPr>
    <w:rPr>
      <w:szCs w:val="20"/>
    </w:rPr>
  </w:style>
  <w:style w:type="paragraph" w:customStyle="1" w:styleId="1">
    <w:name w:val="Обычный1"/>
    <w:qFormat/>
    <w:rsid w:val="00A16219"/>
    <w:rPr>
      <w:rFonts w:ascii="Arial" w:eastAsia="Times New Roman" w:hAnsi="Arial"/>
      <w:sz w:val="18"/>
    </w:rPr>
  </w:style>
  <w:style w:type="paragraph" w:styleId="ad">
    <w:name w:val="List Paragraph"/>
    <w:basedOn w:val="a"/>
    <w:uiPriority w:val="34"/>
    <w:qFormat/>
    <w:rsid w:val="00A16219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qFormat/>
    <w:rsid w:val="00A16219"/>
    <w:pPr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ConsNormal">
    <w:name w:val="ConsNormal"/>
    <w:qFormat/>
    <w:rsid w:val="00A16219"/>
    <w:pPr>
      <w:ind w:right="19772" w:firstLine="720"/>
    </w:pPr>
    <w:rPr>
      <w:rFonts w:ascii="Arial" w:eastAsia="Times New Roman" w:hAnsi="Arial" w:cs="Arial"/>
      <w:sz w:val="24"/>
    </w:rPr>
  </w:style>
  <w:style w:type="paragraph" w:styleId="ae">
    <w:name w:val="No Spacing"/>
    <w:uiPriority w:val="1"/>
    <w:qFormat/>
    <w:rsid w:val="00A3001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:\Users\SLUHAE~1\AppData\Local\Temp\%25D0%259F%25D1%2580%25D0%25B8%25D0%25BB%25D0%25BE%25D0%25B6%25D0%25B5%25D0%25BD%25D0%25B8%25D0%25B5%2010%20%25D0%259F%25D0%25BE%25D1%2580%25D1%258F%25D0%25B4%25D0%25BE%25D0%25BA%20%25D0%25BF%25D0%25BE%20%25D0%25B3%25D1%2580%25D0%25B0%25D0%25BD%25D1%2582%25D0%25B0%25D0%25BC-1.docx" TargetMode="External"/><Relationship Id="rId13" Type="http://schemas.openxmlformats.org/officeDocument/2006/relationships/hyperlink" Target="https://login.consultant.ru/link/?rnd=5F03AC9B9644D4933CB4B2889EEABFC7&amp;req=doc&amp;base=RLAW926&amp;n=200518&amp;dst=105971&amp;fld=134&amp;date=05.02.20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D1BD4CC88B52F8907930E026B1A507AAB79103145C2CABAED72BA72FW504E" TargetMode="External"/><Relationship Id="rId12" Type="http://schemas.openxmlformats.org/officeDocument/2006/relationships/hyperlink" Target="consultantplus://offline/ref=08D1BD4CC88B52F8907930E026B1A507ABBF9205145D2CABAED72BA72F546416BE09B8W40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date=06.02.2020&amp;rnd=0DEC4D6EA52C0DCAE526221059596C24" TargetMode="External"/><Relationship Id="rId11" Type="http://schemas.openxmlformats.org/officeDocument/2006/relationships/hyperlink" Target="consultantplus://offline/ref=08D1BD4CC88B52F8907930E026B1A507AAB79103145C2CABAED72BA72FW50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5F03AC9B9644D4933CB4B2889EEABFC7&amp;req=doc&amp;base=RLAW926&amp;n=200518&amp;dst=105979&amp;fld=134&amp;date=05.02.2020" TargetMode="External"/><Relationship Id="rId10" Type="http://schemas.openxmlformats.org/officeDocument/2006/relationships/hyperlink" Target="consultantplus://offline/ref=08D1BD4CC88B52F8907930E026B1A507AAB79103145C2CABAED72BA72FW50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1BD4CC88B52F8907930E026B1A507AAB79103145C2CABAED72BA72FW504E" TargetMode="External"/><Relationship Id="rId14" Type="http://schemas.openxmlformats.org/officeDocument/2006/relationships/hyperlink" Target="https://login.consultant.ru/link/?rnd=5F03AC9B9644D4933CB4B2889EEABFC7&amp;req=doc&amp;base=RLAW926&amp;n=200518&amp;dst=105975&amp;fld=134&amp;date=05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39F4-20DD-424A-96C2-8EA11511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Шихман Татьяна Анатольевна</cp:lastModifiedBy>
  <cp:revision>2</cp:revision>
  <cp:lastPrinted>2011-09-21T06:15:00Z</cp:lastPrinted>
  <dcterms:created xsi:type="dcterms:W3CDTF">2020-02-17T07:49:00Z</dcterms:created>
  <dcterms:modified xsi:type="dcterms:W3CDTF">2020-02-17T07:49:00Z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